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Default="00E944BC"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CF7C3C">
        <w:rPr>
          <w:rFonts w:ascii="Times New Roman" w:hAnsi="Times New Roman" w:cs="Times New Roman"/>
          <w:b/>
          <w:sz w:val="26"/>
          <w:szCs w:val="26"/>
        </w:rPr>
        <w:t>ЗЗСО та ЗПТО Полтавської 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5A1BDE">
        <w:rPr>
          <w:rStyle w:val="a5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A1BDE" w:rsidRPr="00CF7C3C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F7C3C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  <w:r w:rsidRPr="005A1BDE">
        <w:rPr>
          <w:rFonts w:ascii="Times New Roman" w:hAnsi="Times New Roman" w:cs="Times New Roman"/>
          <w:lang w:eastAsia="uk-UA"/>
        </w:rPr>
        <w:t xml:space="preserve"> 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>Важливо правильно обрати категорію особи</w:t>
      </w:r>
      <w:r w:rsid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F36AF0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="00B21005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</w:t>
      </w:r>
      <w:r w:rsidR="00777CB4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вну загальну середню освіту, – 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</w:rPr>
        <w:t xml:space="preserve"> 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Pr="005A1BDE">
        <w:rPr>
          <w:rFonts w:ascii="Times New Roman" w:hAnsi="Times New Roman" w:cs="Times New Roman"/>
          <w:lang w:val="ru-RU"/>
        </w:rPr>
        <w:t xml:space="preserve"> 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50D26" w:rsidRPr="00CF7C3C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F7C3C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CF7C3C">
        <w:rPr>
          <w:rFonts w:ascii="Times New Roman" w:hAnsi="Times New Roman" w:cs="Times New Roman"/>
          <w:u w:val="single"/>
        </w:rPr>
        <w:t>testportal.gov.</w:t>
      </w:r>
      <w:r w:rsidRPr="00CF7C3C">
        <w:rPr>
          <w:rFonts w:ascii="Times New Roman" w:hAnsi="Times New Roman" w:cs="Times New Roman"/>
        </w:rPr>
        <w:t xml:space="preserve">ua та Харківського РЦОЯО </w:t>
      </w:r>
      <w:r w:rsidRPr="00CF7C3C">
        <w:rPr>
          <w:rFonts w:ascii="Times New Roman" w:hAnsi="Times New Roman" w:cs="Times New Roman"/>
          <w:u w:val="single"/>
        </w:rPr>
        <w:t xml:space="preserve">zno-kharkiv.org.ua </w:t>
      </w:r>
      <w:r w:rsidR="00BC4B5A" w:rsidRPr="00CF7C3C">
        <w:rPr>
          <w:rFonts w:ascii="Times New Roman" w:hAnsi="Times New Roman" w:cs="Times New Roman"/>
        </w:rPr>
        <w:t>в розділі «ЗНО-2019</w:t>
      </w:r>
      <w:r w:rsidRPr="00CF7C3C">
        <w:rPr>
          <w:rFonts w:ascii="Times New Roman" w:hAnsi="Times New Roman" w:cs="Times New Roman"/>
        </w:rPr>
        <w:t>».</w:t>
      </w:r>
    </w:p>
    <w:p w:rsidR="00150D26" w:rsidRPr="005A1BDE" w:rsidRDefault="00150D26" w:rsidP="008079B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F7C3C">
        <w:rPr>
          <w:rFonts w:ascii="Times New Roman" w:hAnsi="Times New Roman" w:cs="Times New Roman"/>
        </w:rPr>
        <w:t>У</w:t>
      </w:r>
      <w:r w:rsidR="00A87878" w:rsidRPr="00CF7C3C">
        <w:rPr>
          <w:rFonts w:ascii="Times New Roman" w:hAnsi="Times New Roman" w:cs="Times New Roman"/>
        </w:rPr>
        <w:t xml:space="preserve"> м. Полтава</w:t>
      </w:r>
      <w:r w:rsidRPr="00CF7C3C">
        <w:rPr>
          <w:rFonts w:ascii="Times New Roman" w:hAnsi="Times New Roman" w:cs="Times New Roman"/>
        </w:rPr>
        <w:t xml:space="preserve"> </w:t>
      </w:r>
      <w:r w:rsidR="00737E4A" w:rsidRPr="00CF7C3C">
        <w:rPr>
          <w:rFonts w:ascii="Times New Roman" w:hAnsi="Times New Roman" w:cs="Times New Roman"/>
        </w:rPr>
        <w:t>пункт</w:t>
      </w:r>
      <w:r w:rsidR="00A87878" w:rsidRPr="00CF7C3C">
        <w:rPr>
          <w:rFonts w:ascii="Times New Roman" w:hAnsi="Times New Roman" w:cs="Times New Roman"/>
        </w:rPr>
        <w:t>и реєстрації будуть</w:t>
      </w:r>
      <w:r w:rsidR="00737E4A" w:rsidRPr="00CF7C3C">
        <w:rPr>
          <w:rFonts w:ascii="Times New Roman" w:hAnsi="Times New Roman" w:cs="Times New Roman"/>
        </w:rPr>
        <w:t xml:space="preserve"> діяти</w:t>
      </w:r>
      <w:r w:rsidR="001757E8" w:rsidRPr="00CF7C3C">
        <w:rPr>
          <w:rFonts w:ascii="Times New Roman" w:hAnsi="Times New Roman" w:cs="Times New Roman"/>
        </w:rPr>
        <w:t xml:space="preserve"> на базі</w:t>
      </w:r>
      <w:r w:rsidRPr="00CF7C3C">
        <w:rPr>
          <w:rFonts w:ascii="Times New Roman" w:hAnsi="Times New Roman" w:cs="Times New Roman"/>
        </w:rPr>
        <w:t xml:space="preserve"> </w:t>
      </w:r>
      <w:r w:rsidR="008A579A" w:rsidRPr="00CF7C3C">
        <w:rPr>
          <w:rFonts w:ascii="Times New Roman" w:hAnsi="Times New Roman" w:cs="Times New Roman"/>
        </w:rPr>
        <w:t>Полтавського національного технічного</w:t>
      </w:r>
      <w:r w:rsidR="00A87878" w:rsidRPr="00CF7C3C">
        <w:rPr>
          <w:rFonts w:ascii="Times New Roman" w:hAnsi="Times New Roman" w:cs="Times New Roman"/>
        </w:rPr>
        <w:t xml:space="preserve"> університет</w:t>
      </w:r>
      <w:r w:rsidR="008A579A" w:rsidRPr="00CF7C3C">
        <w:rPr>
          <w:rFonts w:ascii="Times New Roman" w:hAnsi="Times New Roman" w:cs="Times New Roman"/>
        </w:rPr>
        <w:t>у</w:t>
      </w:r>
      <w:r w:rsidR="00A87878" w:rsidRPr="00CF7C3C">
        <w:rPr>
          <w:rFonts w:ascii="Times New Roman" w:hAnsi="Times New Roman" w:cs="Times New Roman"/>
        </w:rPr>
        <w:t xml:space="preserve"> імені Юрія Кондратюка </w:t>
      </w:r>
      <w:r w:rsidR="008A579A" w:rsidRPr="00CF7C3C">
        <w:rPr>
          <w:rFonts w:ascii="Times New Roman" w:hAnsi="Times New Roman" w:cs="Times New Roman"/>
        </w:rPr>
        <w:t xml:space="preserve">та </w:t>
      </w:r>
      <w:r w:rsidR="001757E8" w:rsidRPr="00CF7C3C">
        <w:rPr>
          <w:rFonts w:ascii="Times New Roman" w:hAnsi="Times New Roman" w:cs="Times New Roman"/>
        </w:rPr>
        <w:t xml:space="preserve">ВНЗ </w:t>
      </w:r>
      <w:r w:rsidR="00A87878" w:rsidRPr="00CF7C3C">
        <w:rPr>
          <w:rFonts w:ascii="Times New Roman" w:hAnsi="Times New Roman" w:cs="Times New Roman"/>
        </w:rPr>
        <w:t>Укоопспілки «Полтавський університет економіки і торгівлі»</w:t>
      </w:r>
      <w:r w:rsidR="009A3A09" w:rsidRPr="00CF7C3C">
        <w:rPr>
          <w:rFonts w:ascii="Times New Roman" w:hAnsi="Times New Roman" w:cs="Times New Roman"/>
        </w:rPr>
        <w:t xml:space="preserve">, </w:t>
      </w:r>
      <w:r w:rsidR="008A579A" w:rsidRPr="00CF7C3C">
        <w:rPr>
          <w:rFonts w:ascii="Times New Roman" w:hAnsi="Times New Roman" w:cs="Times New Roman"/>
        </w:rPr>
        <w:t xml:space="preserve">м. Кременчук – </w:t>
      </w:r>
      <w:r w:rsidR="008A579A" w:rsidRPr="00CF7C3C">
        <w:rPr>
          <w:rFonts w:ascii="Times New Roman" w:hAnsi="Times New Roman" w:cs="Times New Roman"/>
          <w:color w:val="000000"/>
        </w:rPr>
        <w:t>Кременчуцького національного університету імені Михайла Остроградського</w:t>
      </w:r>
      <w:r w:rsidR="001757E8" w:rsidRPr="00CF7C3C">
        <w:rPr>
          <w:rFonts w:ascii="Times New Roman" w:hAnsi="Times New Roman" w:cs="Times New Roman"/>
          <w:color w:val="000000"/>
        </w:rPr>
        <w:t>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8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документа(ів), що підтверджує(ють)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7E4A"/>
    <w:rsid w:val="0075651B"/>
    <w:rsid w:val="007637F3"/>
    <w:rsid w:val="00772FED"/>
    <w:rsid w:val="00777CB4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86786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1005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CF7C3C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6AF0"/>
    <w:rsid w:val="00F40FBB"/>
    <w:rsid w:val="00F4501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6/12/dodat_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User</cp:lastModifiedBy>
  <cp:revision>2</cp:revision>
  <cp:lastPrinted>2019-01-18T07:42:00Z</cp:lastPrinted>
  <dcterms:created xsi:type="dcterms:W3CDTF">2019-01-22T14:01:00Z</dcterms:created>
  <dcterms:modified xsi:type="dcterms:W3CDTF">2019-01-22T14:01:00Z</dcterms:modified>
</cp:coreProperties>
</file>